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82C" w:rsidRDefault="00EB210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E9082C" w:rsidRDefault="00E9082C">
      <w:pPr>
        <w:pBdr>
          <w:top w:val="nil"/>
          <w:left w:val="nil"/>
          <w:bottom w:val="nil"/>
          <w:right w:val="nil"/>
          <w:between w:val="nil"/>
        </w:pBdr>
        <w:spacing w:after="0" w:line="240" w:lineRule="auto"/>
        <w:rPr>
          <w:rFonts w:ascii="Arial" w:eastAsia="Arial" w:hAnsi="Arial" w:cs="Arial"/>
          <w:color w:val="000000"/>
          <w:sz w:val="24"/>
          <w:szCs w:val="24"/>
        </w:rPr>
      </w:pPr>
    </w:p>
    <w:p w:rsidR="00E9082C" w:rsidRDefault="00EB210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w:t>
      </w:r>
    </w:p>
    <w:p w:rsidR="00E9082C" w:rsidRDefault="00EB210D">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sz w:val="24"/>
          <w:szCs w:val="24"/>
        </w:rPr>
        <w:t xml:space="preserve">[Buyer Guidance: Buyers should consider including Call </w:t>
      </w:r>
      <w:proofErr w:type="gramStart"/>
      <w:r>
        <w:rPr>
          <w:rFonts w:ascii="Arial" w:eastAsia="Arial" w:hAnsi="Arial" w:cs="Arial"/>
          <w:sz w:val="24"/>
          <w:szCs w:val="24"/>
        </w:rPr>
        <w:t>Off</w:t>
      </w:r>
      <w:proofErr w:type="gramEnd"/>
      <w:r>
        <w:rPr>
          <w:rFonts w:ascii="Arial" w:eastAsia="Arial" w:hAnsi="Arial" w:cs="Arial"/>
          <w:sz w:val="24"/>
          <w:szCs w:val="24"/>
        </w:rPr>
        <w:t xml:space="preserve"> Schedule 9 (Security) to ensure their Call-Off Contract contains adequate security measures in order to protect Personal Data in compliance with Annex B of the GDPR PPN 03/22]</w:t>
      </w:r>
    </w:p>
    <w:p w:rsidR="00E9082C" w:rsidRDefault="00E9082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9082C" w:rsidRDefault="00EB210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9082C">
        <w:tc>
          <w:tcPr>
            <w:tcW w:w="2263" w:type="dxa"/>
          </w:tcPr>
          <w:p w:rsidR="00E9082C" w:rsidRDefault="00EB210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“EU GDPR”</w:t>
            </w:r>
          </w:p>
        </w:tc>
        <w:tc>
          <w:tcPr>
            <w:tcW w:w="6753" w:type="dxa"/>
          </w:tcPr>
          <w:p w:rsidR="00E9082C" w:rsidRDefault="00EB210D">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the General Data Protection Regulation ((EU) 2016/679);</w:t>
            </w:r>
          </w:p>
        </w:tc>
      </w:tr>
      <w:tr w:rsidR="00E9082C">
        <w:tc>
          <w:tcPr>
            <w:tcW w:w="2263" w:type="dxa"/>
          </w:tcPr>
          <w:p w:rsidR="00E9082C" w:rsidRDefault="00EB210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“Joint Control”</w:t>
            </w:r>
          </w:p>
        </w:tc>
        <w:tc>
          <w:tcPr>
            <w:tcW w:w="6753" w:type="dxa"/>
          </w:tcPr>
          <w:p w:rsidR="00E9082C" w:rsidRDefault="00EB210D">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where two or more Controllers jointly determine the purposes and means of Processing;</w:t>
            </w:r>
          </w:p>
        </w:tc>
      </w:tr>
      <w:tr w:rsidR="00E9082C">
        <w:tc>
          <w:tcPr>
            <w:tcW w:w="2263" w:type="dxa"/>
          </w:tcPr>
          <w:p w:rsidR="00E9082C" w:rsidRDefault="00EB210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E9082C" w:rsidRDefault="00EB210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E9082C" w:rsidRDefault="00EB210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E9082C" w:rsidRDefault="00EB210D">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E9082C" w:rsidRDefault="00EB210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_heading=h.30j0zll" w:colFirst="0" w:colLast="0"/>
      <w:bookmarkEnd w:id="0"/>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 or further provided in writing by the Controller and may not be determined by the Processor.</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Processor shall notify the Controller immediately if it considers that any of the Controller’s instructions infringe the Data Protection Legislation.</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or as further provided in writing by the Controller, unless the Processor is required to do otherwise by Law. If it is so required the Processor shall promptly notify the Controller before Processing the Personal Data unless prohibited by Law;</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proofErr w:type="gramStart"/>
      <w:r>
        <w:rPr>
          <w:rFonts w:ascii="Arial" w:eastAsia="Arial" w:hAnsi="Arial" w:cs="Arial"/>
          <w:sz w:val="24"/>
          <w:szCs w:val="24"/>
        </w:rPr>
        <w:t>ensure</w:t>
      </w:r>
      <w:proofErr w:type="gramEnd"/>
      <w:r>
        <w:rPr>
          <w:rFonts w:ascii="Arial" w:eastAsia="Arial" w:hAnsi="Arial" w:cs="Arial"/>
          <w:sz w:val="24"/>
          <w:szCs w:val="24"/>
        </w:rPr>
        <w:t xml:space="preserve"> that it has in place Protective Measures, which are appropriate to protect against Personal Data Breach,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state of technological development; </w:t>
      </w:r>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9082C" w:rsidRDefault="00EB210D">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which shall be maintained in accordance with Data Protection Legislation and Good Industry Practice;</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 :</w:t>
      </w:r>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 and the Controller’s further written instructions;</w:t>
      </w:r>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uses  all reasonable endeavours  to ensure the reliability and integrity of any Processor Personnel who have access to the Personal Data and ensure that they:</w:t>
      </w:r>
    </w:p>
    <w:p w:rsidR="00E9082C" w:rsidRDefault="00EB210D">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E9082C" w:rsidRDefault="00EB210D">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E9082C" w:rsidRDefault="00EB210D">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E9082C" w:rsidRDefault="00EB210D">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Personal Data outside of the UK  unless the prior written consent of the Controller has been obtained and the following conditions are fulfilled:</w:t>
      </w:r>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destination country has been recognised as adequate by the UK government in accordance with Article 45 of the UK GDPR (or section 74 of the DPA 2018); or</w:t>
      </w:r>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or International Data Transfer Agreement Addendum to the 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under section 119A(1) of the DPA 2018, as well as any additional measures determined by the Controller;</w:t>
      </w:r>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Data Protection Legislation by providing an adequate level of protection to any Personal Data that is transferred (or, if it is not so bound, uses its best endeavours to assist the Controller in meeting its obligations); and</w:t>
      </w:r>
    </w:p>
    <w:p w:rsidR="00E9082C" w:rsidRDefault="00EB210D">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any reasonable instructions notified to it in advance by the Controller with respect to the Processing of the Personal Data; </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where the Personal Data is subject to EU GDPR, not transfer Personal Data outside of the EU unless the prior written consent of the Controller has been obtained and the following conditions are fulfilled:</w:t>
      </w:r>
    </w:p>
    <w:p w:rsidR="00E9082C" w:rsidRDefault="00EB210D">
      <w:pPr>
        <w:numPr>
          <w:ilvl w:val="3"/>
          <w:numId w:val="10"/>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rsidR="00E9082C" w:rsidRDefault="00EB210D">
      <w:pPr>
        <w:numPr>
          <w:ilvl w:val="3"/>
          <w:numId w:val="10"/>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has provided appropriate safeguards in relation to the transfer in accordance with Article 46 of the EU GDPR as determined by the Controller which could include relevant parties </w:t>
      </w:r>
      <w:r>
        <w:rPr>
          <w:rFonts w:ascii="Arial" w:eastAsia="Arial" w:hAnsi="Arial" w:cs="Arial"/>
          <w:sz w:val="24"/>
          <w:szCs w:val="24"/>
        </w:rPr>
        <w:lastRenderedPageBreak/>
        <w:t>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E9082C" w:rsidRDefault="00EB210D">
      <w:pPr>
        <w:numPr>
          <w:ilvl w:val="3"/>
          <w:numId w:val="10"/>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E9082C" w:rsidRDefault="00EB210D">
      <w:pPr>
        <w:numPr>
          <w:ilvl w:val="3"/>
          <w:numId w:val="10"/>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E9082C" w:rsidRDefault="00EB210D">
      <w:pPr>
        <w:numPr>
          <w:ilvl w:val="3"/>
          <w:numId w:val="10"/>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any reasonable instructions notified to it in advance by the Controller with respect to the processing of the Personal Data; and </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the Controller  to comply with a Data Subject Access Request within the relevant timescales set out in the Data Protection Legislation; </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other regulatory authority, or any consultation by the Controller with the Information Commissioner's Office or any other regulatory authority.</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E9082C" w:rsidRDefault="00EB210D">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 xml:space="preserve">The Relevant Authority may, at any time on not less than thirty (30) Working Days’ notice, revise this Joint Schedule 11 by replacing it with any applicable </w:t>
      </w:r>
      <w:r>
        <w:rPr>
          <w:rFonts w:ascii="Arial" w:eastAsia="Arial" w:hAnsi="Arial" w:cs="Arial"/>
          <w:sz w:val="24"/>
          <w:szCs w:val="24"/>
        </w:rPr>
        <w:lastRenderedPageBreak/>
        <w:t>controller to processor standard clauses or similar terms forming part of an applicable certification scheme (which shall apply when incorporated by attachment to the Contract).</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E9082C" w:rsidRDefault="00EB210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E9082C" w:rsidRDefault="00EB210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E9082C" w:rsidRDefault="00EB210D">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E9082C" w:rsidRDefault="00EB210D">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rsidR="00E9082C" w:rsidRDefault="00EB210D">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9082C" w:rsidRDefault="00EB210D">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E9082C" w:rsidRDefault="00E9082C">
      <w:pPr>
        <w:pBdr>
          <w:top w:val="nil"/>
          <w:left w:val="nil"/>
          <w:bottom w:val="nil"/>
          <w:right w:val="nil"/>
          <w:between w:val="nil"/>
        </w:pBdr>
        <w:spacing w:before="280" w:after="120"/>
        <w:ind w:left="709"/>
        <w:rPr>
          <w:rFonts w:ascii="Arial" w:eastAsia="Arial" w:hAnsi="Arial" w:cs="Arial"/>
          <w:sz w:val="24"/>
          <w:szCs w:val="24"/>
        </w:rPr>
      </w:pPr>
    </w:p>
    <w:p w:rsidR="00E9082C" w:rsidRDefault="00EB210D">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E9082C" w:rsidRDefault="00EB210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E9082C" w:rsidRDefault="00EB210D">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w:t>
      </w:r>
      <w:r w:rsidR="007A167D">
        <w:rPr>
          <w:rFonts w:ascii="Arial" w:eastAsia="Arial" w:hAnsi="Arial" w:cs="Arial"/>
          <w:sz w:val="24"/>
          <w:szCs w:val="24"/>
        </w:rPr>
        <w:t>’s Data Protection Officer are: Redacted Text under FOI section 40  Personal Details</w:t>
      </w:r>
    </w:p>
    <w:p w:rsidR="00E9082C" w:rsidRPr="00284009" w:rsidRDefault="00EB210D" w:rsidP="002E70DE">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r w:rsidR="007A167D" w:rsidRPr="007A167D">
        <w:rPr>
          <w:rFonts w:ascii="Arial" w:eastAsia="Arial" w:hAnsi="Arial" w:cs="Arial"/>
          <w:sz w:val="24"/>
          <w:szCs w:val="24"/>
        </w:rPr>
        <w:t xml:space="preserve"> </w:t>
      </w:r>
      <w:r w:rsidR="007A167D">
        <w:rPr>
          <w:rFonts w:ascii="Arial" w:eastAsia="Arial" w:hAnsi="Arial" w:cs="Arial"/>
          <w:sz w:val="24"/>
          <w:szCs w:val="24"/>
        </w:rPr>
        <w:t>Redacted Text under FOI section 40  Personal Details</w:t>
      </w:r>
      <w:bookmarkStart w:id="16" w:name="_GoBack"/>
      <w:bookmarkEnd w:id="16"/>
    </w:p>
    <w:p w:rsidR="00E9082C" w:rsidRDefault="00EB210D">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E9082C" w:rsidRDefault="00EB210D">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E9082C" w:rsidRDefault="00E9082C">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9082C">
        <w:trPr>
          <w:trHeight w:val="700"/>
        </w:trPr>
        <w:tc>
          <w:tcPr>
            <w:tcW w:w="2263" w:type="dxa"/>
            <w:shd w:val="clear" w:color="auto" w:fill="BFBFBF"/>
            <w:vAlign w:val="center"/>
          </w:tcPr>
          <w:p w:rsidR="00E9082C" w:rsidRDefault="00EB210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9082C" w:rsidRDefault="00EB210D">
            <w:pPr>
              <w:jc w:val="center"/>
              <w:rPr>
                <w:rFonts w:ascii="Arial" w:eastAsia="Arial" w:hAnsi="Arial" w:cs="Arial"/>
                <w:b/>
                <w:sz w:val="24"/>
                <w:szCs w:val="24"/>
              </w:rPr>
            </w:pPr>
            <w:r>
              <w:rPr>
                <w:rFonts w:ascii="Arial" w:eastAsia="Arial" w:hAnsi="Arial" w:cs="Arial"/>
                <w:b/>
                <w:sz w:val="24"/>
                <w:szCs w:val="24"/>
              </w:rPr>
              <w:t>Details</w:t>
            </w:r>
          </w:p>
        </w:tc>
      </w:tr>
      <w:tr w:rsidR="00E9082C">
        <w:trPr>
          <w:trHeight w:val="1620"/>
        </w:trPr>
        <w:tc>
          <w:tcPr>
            <w:tcW w:w="2263" w:type="dxa"/>
            <w:shd w:val="clear" w:color="auto" w:fill="auto"/>
          </w:tcPr>
          <w:p w:rsidR="00E9082C" w:rsidRDefault="00EB210D">
            <w:pPr>
              <w:rPr>
                <w:rFonts w:ascii="Arial" w:eastAsia="Arial" w:hAnsi="Arial" w:cs="Arial"/>
                <w:sz w:val="24"/>
                <w:szCs w:val="24"/>
              </w:rPr>
            </w:pPr>
            <w:r>
              <w:rPr>
                <w:rFonts w:ascii="Arial" w:eastAsia="Arial" w:hAnsi="Arial" w:cs="Arial"/>
                <w:sz w:val="24"/>
                <w:szCs w:val="24"/>
              </w:rPr>
              <w:t>Identity of Controller and Processor for each Category of Personal Data</w:t>
            </w:r>
          </w:p>
        </w:tc>
        <w:tc>
          <w:tcPr>
            <w:tcW w:w="7423" w:type="dxa"/>
            <w:shd w:val="clear" w:color="auto" w:fill="auto"/>
          </w:tcPr>
          <w:p w:rsidR="00E9082C" w:rsidRDefault="00EB210D">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E9082C" w:rsidRDefault="00EB210D">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E9082C" w:rsidRDefault="00E9082C">
            <w:pPr>
              <w:rPr>
                <w:rFonts w:ascii="Arial" w:eastAsia="Arial" w:hAnsi="Arial" w:cs="Arial"/>
                <w:sz w:val="24"/>
                <w:szCs w:val="24"/>
              </w:rPr>
            </w:pPr>
          </w:p>
          <w:p w:rsidR="00284009" w:rsidRPr="00284009" w:rsidRDefault="00284009">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All Personal Data processed in the provision of the services</w:t>
            </w:r>
          </w:p>
          <w:p w:rsidR="00E9082C" w:rsidRDefault="00E9082C" w:rsidP="00284009">
            <w:pPr>
              <w:rPr>
                <w:rFonts w:ascii="Arial" w:eastAsia="Arial" w:hAnsi="Arial" w:cs="Arial"/>
                <w:sz w:val="24"/>
                <w:szCs w:val="24"/>
              </w:rPr>
            </w:pPr>
          </w:p>
        </w:tc>
      </w:tr>
      <w:tr w:rsidR="00E9082C">
        <w:trPr>
          <w:trHeight w:val="1460"/>
        </w:trPr>
        <w:tc>
          <w:tcPr>
            <w:tcW w:w="2263" w:type="dxa"/>
            <w:shd w:val="clear" w:color="auto" w:fill="auto"/>
          </w:tcPr>
          <w:p w:rsidR="00E9082C" w:rsidRDefault="00EB210D">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8E0C2D" w:rsidRDefault="008E0C2D">
            <w:pPr>
              <w:rPr>
                <w:rFonts w:ascii="Arial" w:eastAsia="Arial" w:hAnsi="Arial" w:cs="Arial"/>
                <w:sz w:val="24"/>
                <w:szCs w:val="24"/>
              </w:rPr>
            </w:pPr>
            <w:r>
              <w:rPr>
                <w:rFonts w:ascii="Arial" w:eastAsia="Arial" w:hAnsi="Arial" w:cs="Arial"/>
                <w:sz w:val="24"/>
                <w:szCs w:val="24"/>
              </w:rPr>
              <w:t>All personal data will be deleted one year after the request is completed.</w:t>
            </w:r>
          </w:p>
        </w:tc>
      </w:tr>
      <w:tr w:rsidR="00E9082C">
        <w:trPr>
          <w:trHeight w:val="1520"/>
        </w:trPr>
        <w:tc>
          <w:tcPr>
            <w:tcW w:w="2263" w:type="dxa"/>
            <w:shd w:val="clear" w:color="auto" w:fill="auto"/>
          </w:tcPr>
          <w:p w:rsidR="00E9082C" w:rsidRDefault="00EB210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9082C" w:rsidRDefault="00284009">
            <w:pPr>
              <w:rPr>
                <w:rFonts w:ascii="Arial" w:eastAsia="Arial" w:hAnsi="Arial" w:cs="Arial"/>
                <w:sz w:val="24"/>
                <w:szCs w:val="24"/>
              </w:rPr>
            </w:pPr>
            <w:r>
              <w:rPr>
                <w:rFonts w:ascii="Arial" w:eastAsia="Arial" w:hAnsi="Arial" w:cs="Arial"/>
                <w:sz w:val="24"/>
                <w:szCs w:val="24"/>
              </w:rPr>
              <w:t>The provision of specialist furniture and accessories for CO employees</w:t>
            </w:r>
          </w:p>
        </w:tc>
      </w:tr>
      <w:tr w:rsidR="00E9082C">
        <w:trPr>
          <w:trHeight w:val="1400"/>
        </w:trPr>
        <w:tc>
          <w:tcPr>
            <w:tcW w:w="2263" w:type="dxa"/>
            <w:shd w:val="clear" w:color="auto" w:fill="auto"/>
          </w:tcPr>
          <w:p w:rsidR="00E9082C" w:rsidRDefault="00EB210D">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2F2A5E" w:rsidRDefault="002F2A5E" w:rsidP="00284009">
            <w:pPr>
              <w:rPr>
                <w:rFonts w:ascii="Arial" w:eastAsia="Arial" w:hAnsi="Arial" w:cs="Arial"/>
                <w:sz w:val="24"/>
                <w:szCs w:val="24"/>
              </w:rPr>
            </w:pPr>
            <w:r>
              <w:rPr>
                <w:rFonts w:ascii="Arial" w:eastAsia="Arial" w:hAnsi="Arial" w:cs="Arial"/>
                <w:sz w:val="24"/>
                <w:szCs w:val="24"/>
              </w:rPr>
              <w:t xml:space="preserve">To </w:t>
            </w:r>
            <w:r w:rsidR="003B4754">
              <w:rPr>
                <w:rFonts w:ascii="Arial" w:eastAsia="Arial" w:hAnsi="Arial" w:cs="Arial"/>
                <w:sz w:val="24"/>
                <w:szCs w:val="24"/>
              </w:rPr>
              <w:t>procure</w:t>
            </w:r>
            <w:r>
              <w:rPr>
                <w:rFonts w:ascii="Arial" w:eastAsia="Arial" w:hAnsi="Arial" w:cs="Arial"/>
                <w:sz w:val="24"/>
                <w:szCs w:val="24"/>
              </w:rPr>
              <w:t xml:space="preserve"> a</w:t>
            </w:r>
            <w:r w:rsidR="003B4754">
              <w:rPr>
                <w:rFonts w:ascii="Arial" w:eastAsia="Arial" w:hAnsi="Arial" w:cs="Arial"/>
                <w:sz w:val="24"/>
                <w:szCs w:val="24"/>
              </w:rPr>
              <w:t xml:space="preserve"> product</w:t>
            </w:r>
            <w:r>
              <w:rPr>
                <w:rFonts w:ascii="Arial" w:eastAsia="Arial" w:hAnsi="Arial" w:cs="Arial"/>
                <w:sz w:val="24"/>
                <w:szCs w:val="24"/>
              </w:rPr>
              <w:t>: Full name, deli</w:t>
            </w:r>
            <w:r w:rsidR="003B4754">
              <w:rPr>
                <w:rFonts w:ascii="Arial" w:eastAsia="Arial" w:hAnsi="Arial" w:cs="Arial"/>
                <w:sz w:val="24"/>
                <w:szCs w:val="24"/>
              </w:rPr>
              <w:t>very address, contact telephone, email address</w:t>
            </w:r>
          </w:p>
          <w:p w:rsidR="002F2A5E" w:rsidRDefault="002F2A5E" w:rsidP="00284009">
            <w:pPr>
              <w:rPr>
                <w:rFonts w:ascii="Arial" w:eastAsia="Arial" w:hAnsi="Arial" w:cs="Arial"/>
                <w:sz w:val="24"/>
                <w:szCs w:val="24"/>
              </w:rPr>
            </w:pPr>
          </w:p>
          <w:p w:rsidR="00234EB1" w:rsidRDefault="002F2A5E" w:rsidP="00284009">
            <w:pPr>
              <w:rPr>
                <w:rFonts w:ascii="Arial" w:eastAsia="Arial" w:hAnsi="Arial" w:cs="Arial"/>
                <w:sz w:val="24"/>
                <w:szCs w:val="24"/>
              </w:rPr>
            </w:pPr>
            <w:r>
              <w:rPr>
                <w:rFonts w:ascii="Arial" w:eastAsia="Arial" w:hAnsi="Arial" w:cs="Arial"/>
                <w:sz w:val="24"/>
                <w:szCs w:val="24"/>
              </w:rPr>
              <w:t xml:space="preserve">To establish a suitable chair: </w:t>
            </w:r>
            <w:r w:rsidR="003B4754">
              <w:rPr>
                <w:rFonts w:ascii="Arial" w:eastAsia="Arial" w:hAnsi="Arial" w:cs="Arial"/>
                <w:sz w:val="24"/>
                <w:szCs w:val="24"/>
              </w:rPr>
              <w:t>Full name, delivery address, contact telephone, email address</w:t>
            </w:r>
            <w:r>
              <w:rPr>
                <w:rFonts w:ascii="Arial" w:eastAsia="Arial" w:hAnsi="Arial" w:cs="Arial"/>
                <w:sz w:val="24"/>
                <w:szCs w:val="24"/>
              </w:rPr>
              <w:t xml:space="preserve">, </w:t>
            </w:r>
            <w:r w:rsidR="00234EB1">
              <w:rPr>
                <w:rFonts w:ascii="Arial" w:eastAsia="Arial" w:hAnsi="Arial" w:cs="Arial"/>
                <w:sz w:val="24"/>
                <w:szCs w:val="24"/>
              </w:rPr>
              <w:t>Health restriction for lifting</w:t>
            </w:r>
            <w:r>
              <w:rPr>
                <w:rFonts w:ascii="Arial" w:eastAsia="Arial" w:hAnsi="Arial" w:cs="Arial"/>
                <w:sz w:val="24"/>
                <w:szCs w:val="24"/>
              </w:rPr>
              <w:t xml:space="preserve">, </w:t>
            </w:r>
            <w:r w:rsidR="00234EB1">
              <w:rPr>
                <w:rFonts w:ascii="Arial" w:eastAsia="Arial" w:hAnsi="Arial" w:cs="Arial"/>
                <w:sz w:val="24"/>
                <w:szCs w:val="24"/>
              </w:rPr>
              <w:t>Height</w:t>
            </w:r>
            <w:r w:rsidR="003B4754">
              <w:rPr>
                <w:rFonts w:ascii="Arial" w:eastAsia="Arial" w:hAnsi="Arial" w:cs="Arial"/>
                <w:sz w:val="24"/>
                <w:szCs w:val="24"/>
              </w:rPr>
              <w:t xml:space="preserve">, Weight range, </w:t>
            </w:r>
            <w:r>
              <w:rPr>
                <w:rFonts w:ascii="Arial" w:eastAsia="Arial" w:hAnsi="Arial" w:cs="Arial"/>
                <w:sz w:val="24"/>
                <w:szCs w:val="24"/>
              </w:rPr>
              <w:t>measurements taken of individual</w:t>
            </w:r>
          </w:p>
          <w:p w:rsidR="003B4754" w:rsidRPr="00284009" w:rsidRDefault="003B4754" w:rsidP="00284009">
            <w:pPr>
              <w:rPr>
                <w:rFonts w:ascii="Arial" w:eastAsia="Arial" w:hAnsi="Arial" w:cs="Arial"/>
                <w:sz w:val="24"/>
                <w:szCs w:val="24"/>
              </w:rPr>
            </w:pPr>
          </w:p>
        </w:tc>
      </w:tr>
      <w:tr w:rsidR="00E9082C">
        <w:trPr>
          <w:trHeight w:val="1560"/>
        </w:trPr>
        <w:tc>
          <w:tcPr>
            <w:tcW w:w="2263" w:type="dxa"/>
            <w:shd w:val="clear" w:color="auto" w:fill="auto"/>
          </w:tcPr>
          <w:p w:rsidR="00E9082C" w:rsidRDefault="00EB210D">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E9082C" w:rsidRPr="003B4754" w:rsidRDefault="003B4754">
            <w:pPr>
              <w:rPr>
                <w:rFonts w:ascii="Arial" w:eastAsia="Arial" w:hAnsi="Arial" w:cs="Arial"/>
                <w:sz w:val="24"/>
                <w:szCs w:val="24"/>
              </w:rPr>
            </w:pPr>
            <w:r>
              <w:rPr>
                <w:rFonts w:ascii="Arial" w:eastAsia="Arial" w:hAnsi="Arial" w:cs="Arial"/>
                <w:sz w:val="24"/>
                <w:szCs w:val="24"/>
              </w:rPr>
              <w:t>Employees</w:t>
            </w:r>
          </w:p>
        </w:tc>
      </w:tr>
      <w:tr w:rsidR="00E9082C">
        <w:trPr>
          <w:trHeight w:val="1560"/>
        </w:trPr>
        <w:tc>
          <w:tcPr>
            <w:tcW w:w="2263" w:type="dxa"/>
            <w:shd w:val="clear" w:color="auto" w:fill="auto"/>
          </w:tcPr>
          <w:p w:rsidR="00E9082C" w:rsidRDefault="00EB210D">
            <w:pPr>
              <w:rPr>
                <w:rFonts w:ascii="Arial" w:eastAsia="Arial" w:hAnsi="Arial" w:cs="Arial"/>
                <w:sz w:val="24"/>
                <w:szCs w:val="24"/>
              </w:rPr>
            </w:pPr>
            <w:r>
              <w:rPr>
                <w:rFonts w:ascii="Arial" w:eastAsia="Arial" w:hAnsi="Arial" w:cs="Arial"/>
                <w:sz w:val="24"/>
                <w:szCs w:val="24"/>
              </w:rPr>
              <w:lastRenderedPageBreak/>
              <w:t>International transfers and legal gateway</w:t>
            </w:r>
          </w:p>
        </w:tc>
        <w:tc>
          <w:tcPr>
            <w:tcW w:w="7423" w:type="dxa"/>
            <w:shd w:val="clear" w:color="auto" w:fill="auto"/>
          </w:tcPr>
          <w:p w:rsidR="003B4754" w:rsidRPr="005B3CB6" w:rsidRDefault="005B3CB6" w:rsidP="005B3CB6">
            <w:pPr>
              <w:keepNext/>
              <w:jc w:val="both"/>
              <w:rPr>
                <w:rFonts w:ascii="Arial" w:eastAsia="Arial" w:hAnsi="Arial" w:cs="Arial"/>
                <w:sz w:val="24"/>
                <w:szCs w:val="24"/>
              </w:rPr>
            </w:pPr>
            <w:r w:rsidRPr="005B3CB6">
              <w:rPr>
                <w:rFonts w:ascii="Arial" w:hAnsi="Arial" w:cs="Arial"/>
                <w:color w:val="222222"/>
                <w:sz w:val="24"/>
                <w:shd w:val="clear" w:color="auto" w:fill="FFFFFF"/>
              </w:rPr>
              <w:t xml:space="preserve">Data will predominantly be UK based processing only. However some data, delivery address and contact information where needed, may be shared with a </w:t>
            </w:r>
            <w:proofErr w:type="spellStart"/>
            <w:r w:rsidRPr="005B3CB6">
              <w:rPr>
                <w:rFonts w:ascii="Arial" w:hAnsi="Arial" w:cs="Arial"/>
                <w:color w:val="222222"/>
                <w:sz w:val="24"/>
                <w:shd w:val="clear" w:color="auto" w:fill="FFFFFF"/>
              </w:rPr>
              <w:t>subprocessor</w:t>
            </w:r>
            <w:proofErr w:type="spellEnd"/>
            <w:r w:rsidRPr="005B3CB6">
              <w:rPr>
                <w:rFonts w:ascii="Arial" w:hAnsi="Arial" w:cs="Arial"/>
                <w:color w:val="222222"/>
                <w:sz w:val="24"/>
                <w:shd w:val="clear" w:color="auto" w:fill="FFFFFF"/>
              </w:rPr>
              <w:t xml:space="preserve"> that processing in the EU on a basis of Adequacy.</w:t>
            </w:r>
          </w:p>
        </w:tc>
      </w:tr>
      <w:tr w:rsidR="00E9082C">
        <w:trPr>
          <w:trHeight w:val="1660"/>
        </w:trPr>
        <w:tc>
          <w:tcPr>
            <w:tcW w:w="2263" w:type="dxa"/>
            <w:shd w:val="clear" w:color="auto" w:fill="auto"/>
          </w:tcPr>
          <w:p w:rsidR="00E9082C" w:rsidRDefault="00EB210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9082C" w:rsidRDefault="00EB210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3F1E03" w:rsidRPr="003F1E03" w:rsidRDefault="003F1E03" w:rsidP="003F1E03">
            <w:pPr>
              <w:rPr>
                <w:rFonts w:ascii="Times New Roman" w:eastAsia="Times New Roman" w:hAnsi="Times New Roman" w:cs="Times New Roman"/>
                <w:sz w:val="24"/>
                <w:szCs w:val="24"/>
              </w:rPr>
            </w:pPr>
            <w:r w:rsidRPr="003F1E03">
              <w:rPr>
                <w:rFonts w:ascii="Arial" w:eastAsia="Times New Roman" w:hAnsi="Arial" w:cs="Arial"/>
                <w:sz w:val="24"/>
                <w:szCs w:val="24"/>
              </w:rPr>
              <w:t>Data to be deleted on termination or expiry of the contract.</w:t>
            </w:r>
          </w:p>
          <w:p w:rsidR="003F1E03" w:rsidRPr="003F1E03" w:rsidRDefault="003F1E03" w:rsidP="003F1E03">
            <w:pPr>
              <w:rPr>
                <w:rFonts w:ascii="Times New Roman" w:eastAsia="Times New Roman" w:hAnsi="Times New Roman" w:cs="Times New Roman"/>
                <w:sz w:val="24"/>
                <w:szCs w:val="24"/>
              </w:rPr>
            </w:pPr>
          </w:p>
          <w:p w:rsidR="003F1E03" w:rsidRPr="003F1E03" w:rsidRDefault="003F1E03" w:rsidP="003F1E03">
            <w:pPr>
              <w:rPr>
                <w:rFonts w:ascii="Times New Roman" w:eastAsia="Times New Roman" w:hAnsi="Times New Roman" w:cs="Times New Roman"/>
                <w:sz w:val="24"/>
                <w:szCs w:val="24"/>
              </w:rPr>
            </w:pPr>
            <w:r w:rsidRPr="003F1E03">
              <w:rPr>
                <w:rFonts w:ascii="Arial" w:eastAsia="Times New Roman" w:hAnsi="Arial" w:cs="Arial"/>
                <w:sz w:val="24"/>
                <w:szCs w:val="24"/>
              </w:rPr>
              <w:t>The Supplier to provide a machine readable copy of the data agreed with the Buyer and in an agreed format before all data is deleted.</w:t>
            </w:r>
          </w:p>
          <w:p w:rsidR="003F1E03" w:rsidRPr="003F1E03" w:rsidRDefault="003F1E03" w:rsidP="003F1E03">
            <w:pPr>
              <w:rPr>
                <w:rFonts w:ascii="Times New Roman" w:eastAsia="Times New Roman" w:hAnsi="Times New Roman" w:cs="Times New Roman"/>
                <w:sz w:val="24"/>
                <w:szCs w:val="24"/>
              </w:rPr>
            </w:pPr>
          </w:p>
          <w:p w:rsidR="003F1E03" w:rsidRPr="003F1E03" w:rsidRDefault="003F1E03" w:rsidP="003F1E03">
            <w:pPr>
              <w:rPr>
                <w:rFonts w:ascii="Times New Roman" w:eastAsia="Times New Roman" w:hAnsi="Times New Roman" w:cs="Times New Roman"/>
                <w:sz w:val="24"/>
                <w:szCs w:val="24"/>
              </w:rPr>
            </w:pPr>
            <w:r w:rsidRPr="003F1E03">
              <w:rPr>
                <w:rFonts w:ascii="Arial" w:eastAsia="Times New Roman" w:hAnsi="Arial" w:cs="Arial"/>
                <w:sz w:val="24"/>
                <w:szCs w:val="24"/>
              </w:rPr>
              <w:t>The Supplier is to additionally provide the Buyer with written confirmation of the deletion.</w:t>
            </w:r>
          </w:p>
          <w:p w:rsidR="00E9082C" w:rsidRPr="003B4754" w:rsidRDefault="00E9082C">
            <w:pPr>
              <w:rPr>
                <w:rFonts w:ascii="Arial" w:eastAsia="Arial" w:hAnsi="Arial" w:cs="Arial"/>
                <w:sz w:val="24"/>
                <w:szCs w:val="24"/>
              </w:rPr>
            </w:pPr>
          </w:p>
        </w:tc>
      </w:tr>
    </w:tbl>
    <w:p w:rsidR="00E9082C" w:rsidRDefault="00E9082C">
      <w:pPr>
        <w:rPr>
          <w:rFonts w:ascii="Arial" w:eastAsia="Arial" w:hAnsi="Arial" w:cs="Arial"/>
          <w:b/>
          <w:sz w:val="24"/>
          <w:szCs w:val="24"/>
        </w:rPr>
      </w:pPr>
    </w:p>
    <w:p w:rsidR="0007254F" w:rsidRDefault="0007254F">
      <w:pPr>
        <w:rPr>
          <w:rFonts w:ascii="Arial" w:eastAsia="Arial" w:hAnsi="Arial" w:cs="Arial"/>
          <w:b/>
          <w:sz w:val="24"/>
          <w:szCs w:val="24"/>
        </w:rPr>
      </w:pPr>
      <w:r>
        <w:rPr>
          <w:rFonts w:ascii="Arial" w:eastAsia="Arial" w:hAnsi="Arial" w:cs="Arial"/>
          <w:b/>
          <w:sz w:val="24"/>
          <w:szCs w:val="24"/>
        </w:rPr>
        <w:br w:type="page"/>
      </w:r>
    </w:p>
    <w:p w:rsidR="00E9082C" w:rsidRDefault="00EB210D">
      <w:pPr>
        <w:rPr>
          <w:rFonts w:ascii="Arial" w:eastAsia="Arial" w:hAnsi="Arial" w:cs="Arial"/>
          <w:b/>
          <w:sz w:val="24"/>
          <w:szCs w:val="24"/>
        </w:rPr>
      </w:pPr>
      <w:r>
        <w:rPr>
          <w:rFonts w:ascii="Arial" w:eastAsia="Arial" w:hAnsi="Arial" w:cs="Arial"/>
          <w:b/>
          <w:sz w:val="24"/>
          <w:szCs w:val="24"/>
        </w:rPr>
        <w:lastRenderedPageBreak/>
        <w:t>Annex 2 - Joint Controller Agreement</w:t>
      </w:r>
    </w:p>
    <w:p w:rsidR="003B4754" w:rsidRDefault="003B4754">
      <w:pPr>
        <w:rPr>
          <w:rFonts w:ascii="Arial" w:eastAsia="Arial" w:hAnsi="Arial" w:cs="Arial"/>
          <w:sz w:val="24"/>
          <w:szCs w:val="24"/>
        </w:rPr>
      </w:pPr>
      <w:r>
        <w:rPr>
          <w:rFonts w:ascii="Arial" w:eastAsia="Arial" w:hAnsi="Arial" w:cs="Arial"/>
          <w:sz w:val="24"/>
          <w:szCs w:val="24"/>
        </w:rPr>
        <w:t>Not used</w:t>
      </w:r>
    </w:p>
    <w:p w:rsidR="003B4754" w:rsidRPr="003B4754" w:rsidRDefault="003B4754">
      <w:pPr>
        <w:rPr>
          <w:rFonts w:ascii="Arial" w:eastAsia="Arial" w:hAnsi="Arial" w:cs="Arial"/>
          <w:sz w:val="24"/>
          <w:szCs w:val="24"/>
        </w:rPr>
      </w:pPr>
    </w:p>
    <w:p w:rsidR="00E9082C" w:rsidRDefault="00E9082C" w:rsidP="003B4754">
      <w:pPr>
        <w:keepNext/>
        <w:pBdr>
          <w:top w:val="nil"/>
          <w:left w:val="nil"/>
          <w:bottom w:val="nil"/>
          <w:right w:val="nil"/>
          <w:between w:val="nil"/>
        </w:pBdr>
        <w:spacing w:before="240" w:after="24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E9082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DE2" w:rsidRDefault="00AF7DE2">
      <w:pPr>
        <w:spacing w:after="0" w:line="240" w:lineRule="auto"/>
      </w:pPr>
      <w:r>
        <w:separator/>
      </w:r>
    </w:p>
  </w:endnote>
  <w:endnote w:type="continuationSeparator" w:id="0">
    <w:p w:rsidR="00AF7DE2" w:rsidRDefault="00AF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A5E" w:rsidRDefault="002F2A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RM6308</w:t>
    </w:r>
    <w:r>
      <w:rPr>
        <w:rFonts w:ascii="Arial" w:eastAsia="Arial" w:hAnsi="Arial" w:cs="Arial"/>
        <w:sz w:val="20"/>
        <w:szCs w:val="20"/>
      </w:rPr>
      <w:tab/>
      <w:t xml:space="preserve">                                           </w:t>
    </w:r>
  </w:p>
  <w:p w:rsidR="002F2A5E" w:rsidRDefault="002F2A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A167D">
      <w:rPr>
        <w:rFonts w:ascii="Arial" w:eastAsia="Arial" w:hAnsi="Arial" w:cs="Arial"/>
        <w:noProof/>
        <w:color w:val="000000"/>
        <w:sz w:val="20"/>
        <w:szCs w:val="20"/>
      </w:rPr>
      <w:t>11</w:t>
    </w:r>
    <w:r>
      <w:rPr>
        <w:rFonts w:ascii="Arial" w:eastAsia="Arial" w:hAnsi="Arial" w:cs="Arial"/>
        <w:color w:val="000000"/>
        <w:sz w:val="20"/>
        <w:szCs w:val="20"/>
      </w:rPr>
      <w:fldChar w:fldCharType="end"/>
    </w:r>
    <w:r>
      <w:rPr>
        <w:rFonts w:ascii="Arial" w:eastAsia="Arial" w:hAnsi="Arial" w:cs="Arial"/>
        <w:color w:val="000000"/>
        <w:sz w:val="20"/>
        <w:szCs w:val="20"/>
      </w:rPr>
      <w:t>-</w:t>
    </w:r>
  </w:p>
  <w:p w:rsidR="002F2A5E" w:rsidRDefault="002F2A5E">
    <w:pPr>
      <w:spacing w:after="0"/>
    </w:pPr>
    <w:r>
      <w:rPr>
        <w:rFonts w:ascii="Arial" w:eastAsia="Arial" w:hAnsi="Arial" w:cs="Arial"/>
        <w:sz w:val="20"/>
        <w:szCs w:val="20"/>
      </w:rPr>
      <w:t>Model Version: v4.7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A5E" w:rsidRDefault="002F2A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2F2A5E" w:rsidRDefault="002F2A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2F2A5E" w:rsidRDefault="002F2A5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DE2" w:rsidRDefault="00AF7DE2">
      <w:pPr>
        <w:spacing w:after="0" w:line="240" w:lineRule="auto"/>
      </w:pPr>
      <w:r>
        <w:separator/>
      </w:r>
    </w:p>
  </w:footnote>
  <w:footnote w:type="continuationSeparator" w:id="0">
    <w:p w:rsidR="00AF7DE2" w:rsidRDefault="00AF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A5E" w:rsidRDefault="002F2A5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2F2A5E" w:rsidRDefault="002F2A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A5E" w:rsidRDefault="002F2A5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C6125"/>
    <w:multiLevelType w:val="multilevel"/>
    <w:tmpl w:val="3A3A47D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82E7FD8"/>
    <w:multiLevelType w:val="multilevel"/>
    <w:tmpl w:val="87FA1D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1300D6"/>
    <w:multiLevelType w:val="multilevel"/>
    <w:tmpl w:val="80522A6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24A4257"/>
    <w:multiLevelType w:val="multilevel"/>
    <w:tmpl w:val="8570A4C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9AF02D8"/>
    <w:multiLevelType w:val="multilevel"/>
    <w:tmpl w:val="6C2088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2171189"/>
    <w:multiLevelType w:val="multilevel"/>
    <w:tmpl w:val="ECA880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2710A50"/>
    <w:multiLevelType w:val="multilevel"/>
    <w:tmpl w:val="997480C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CE33DE0"/>
    <w:multiLevelType w:val="multilevel"/>
    <w:tmpl w:val="F6B4DE2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5D65F3A"/>
    <w:multiLevelType w:val="multilevel"/>
    <w:tmpl w:val="18D057E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A19679D"/>
    <w:multiLevelType w:val="multilevel"/>
    <w:tmpl w:val="66F8D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6360D23"/>
    <w:multiLevelType w:val="multilevel"/>
    <w:tmpl w:val="4686E4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8B77C6E"/>
    <w:multiLevelType w:val="multilevel"/>
    <w:tmpl w:val="C1BCE81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7C50A5B"/>
    <w:multiLevelType w:val="multilevel"/>
    <w:tmpl w:val="012097D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234558"/>
    <w:multiLevelType w:val="multilevel"/>
    <w:tmpl w:val="0F32504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7"/>
  </w:num>
  <w:num w:numId="2">
    <w:abstractNumId w:val="10"/>
  </w:num>
  <w:num w:numId="3">
    <w:abstractNumId w:val="6"/>
  </w:num>
  <w:num w:numId="4">
    <w:abstractNumId w:val="9"/>
  </w:num>
  <w:num w:numId="5">
    <w:abstractNumId w:val="2"/>
  </w:num>
  <w:num w:numId="6">
    <w:abstractNumId w:val="13"/>
  </w:num>
  <w:num w:numId="7">
    <w:abstractNumId w:val="0"/>
  </w:num>
  <w:num w:numId="8">
    <w:abstractNumId w:val="3"/>
  </w:num>
  <w:num w:numId="9">
    <w:abstractNumId w:val="5"/>
  </w:num>
  <w:num w:numId="10">
    <w:abstractNumId w:val="11"/>
  </w:num>
  <w:num w:numId="11">
    <w:abstractNumId w:val="4"/>
  </w:num>
  <w:num w:numId="12">
    <w:abstractNumId w:val="12"/>
  </w:num>
  <w:num w:numId="13">
    <w:abstractNumId w:val="1"/>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82C"/>
    <w:rsid w:val="0007254F"/>
    <w:rsid w:val="000D40D5"/>
    <w:rsid w:val="00234EB1"/>
    <w:rsid w:val="0026502D"/>
    <w:rsid w:val="00284009"/>
    <w:rsid w:val="002E70DE"/>
    <w:rsid w:val="002F2A5E"/>
    <w:rsid w:val="00373B1C"/>
    <w:rsid w:val="003B4754"/>
    <w:rsid w:val="003F1E03"/>
    <w:rsid w:val="004B4F0D"/>
    <w:rsid w:val="005B3CB6"/>
    <w:rsid w:val="0064661E"/>
    <w:rsid w:val="006E5380"/>
    <w:rsid w:val="007413D2"/>
    <w:rsid w:val="007A167D"/>
    <w:rsid w:val="008E0C2D"/>
    <w:rsid w:val="009A5CA5"/>
    <w:rsid w:val="009D66A2"/>
    <w:rsid w:val="00AF7DE2"/>
    <w:rsid w:val="00E76D6E"/>
    <w:rsid w:val="00E9082C"/>
    <w:rsid w:val="00EB21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6BFFC"/>
  <w15:docId w15:val="{0CBAE86E-D1C7-4809-8176-601728EEB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rFonts w:ascii="Arial" w:hAnsi="Arial" w:cs="Arial"/>
      <w:color w:val="000000"/>
      <w:sz w:val="24"/>
      <w:szCs w:val="24"/>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922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bQ0On2hr+8VqNZxTVNIQN1jcNg==">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FSN2hNU0JfVTVXeUgxMGowbW1OckhrX1ZfTGhhTi1J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2984</Words>
  <Characters>17013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Donna Wyatt</cp:lastModifiedBy>
  <cp:revision>3</cp:revision>
  <dcterms:created xsi:type="dcterms:W3CDTF">2025-12-03T15:09:00Z</dcterms:created>
  <dcterms:modified xsi:type="dcterms:W3CDTF">2025-12-10T09:57:00Z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